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9" w:rsidRDefault="008B1789" w:rsidP="008B1789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Аннотация к рабочей программе по предмету «Английский язык» </w:t>
      </w:r>
    </w:p>
    <w:p w:rsidR="008B1789" w:rsidRDefault="008B1789" w:rsidP="008B1789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(10-11 классы) на 2018-2019 учебный год</w:t>
      </w:r>
    </w:p>
    <w:p w:rsidR="008B1789" w:rsidRDefault="008B1789" w:rsidP="008B1789">
      <w:pPr>
        <w:tabs>
          <w:tab w:val="left" w:pos="-1260"/>
        </w:tabs>
        <w:jc w:val="center"/>
        <w:rPr>
          <w:b/>
          <w:sz w:val="28"/>
          <w:szCs w:val="28"/>
        </w:rPr>
      </w:pPr>
    </w:p>
    <w:p w:rsidR="008B1789" w:rsidRDefault="008B1789" w:rsidP="008B1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английскому языку для 10-11 классов составлена на основе:</w:t>
      </w:r>
    </w:p>
    <w:p w:rsidR="008B1789" w:rsidRDefault="008B1789" w:rsidP="008B17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образования;</w:t>
      </w:r>
    </w:p>
    <w:p w:rsidR="008B1789" w:rsidRDefault="008B1789" w:rsidP="008B17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 среднего общего образования </w:t>
      </w:r>
      <w:r w:rsidR="00AB713A">
        <w:rPr>
          <w:rFonts w:ascii="Times New Roman" w:hAnsi="Times New Roman"/>
          <w:sz w:val="28"/>
          <w:szCs w:val="28"/>
        </w:rPr>
        <w:t>по предмету «Английский язык</w:t>
      </w:r>
      <w:r>
        <w:rPr>
          <w:rFonts w:ascii="Times New Roman" w:hAnsi="Times New Roman"/>
          <w:sz w:val="28"/>
          <w:szCs w:val="28"/>
        </w:rPr>
        <w:t>». М.: Просвещение, 2014</w:t>
      </w:r>
    </w:p>
    <w:p w:rsidR="008B1789" w:rsidRDefault="008B1789" w:rsidP="008B17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</w:t>
      </w:r>
      <w:r w:rsidR="00AB713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«</w:t>
      </w:r>
      <w:r w:rsidR="00AB713A">
        <w:rPr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». </w:t>
      </w:r>
    </w:p>
    <w:p w:rsidR="008B1789" w:rsidRDefault="008B1789" w:rsidP="008B17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8B1789" w:rsidRDefault="008B1789" w:rsidP="008B1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УМК «Английский в фокусе» для 10-11 классов (авторы О.В. Афанасьева, Д. Дули, И.В.Михеева, Б.Оби, В. Эванс) Издательство «Просвещение», 2015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Учителя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тестов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«Мое языковое портфолио»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для чтения 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8B1789" w:rsidRDefault="008B1789" w:rsidP="008B17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задания</w:t>
      </w:r>
    </w:p>
    <w:p w:rsidR="008B1789" w:rsidRDefault="008B1789" w:rsidP="008B1789">
      <w:pPr>
        <w:ind w:firstLine="708"/>
        <w:jc w:val="both"/>
        <w:rPr>
          <w:b/>
          <w:sz w:val="28"/>
          <w:szCs w:val="28"/>
        </w:rPr>
      </w:pPr>
    </w:p>
    <w:p w:rsidR="008B1789" w:rsidRDefault="008B1789" w:rsidP="008B178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«Английский язык» являются: </w:t>
      </w:r>
    </w:p>
    <w:p w:rsidR="008B1789" w:rsidRDefault="008B1789" w:rsidP="008B1789">
      <w:pPr>
        <w:ind w:firstLine="708"/>
        <w:jc w:val="both"/>
        <w:rPr>
          <w:sz w:val="28"/>
          <w:szCs w:val="28"/>
        </w:rPr>
      </w:pPr>
    </w:p>
    <w:p w:rsidR="008B1789" w:rsidRDefault="008B1789" w:rsidP="008B1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иноязычнои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коммуникативнои</w:t>
      </w:r>
      <w:proofErr w:type="spellEnd"/>
      <w:r>
        <w:rPr>
          <w:sz w:val="28"/>
          <w:szCs w:val="28"/>
        </w:rPr>
        <w:t>̆ компетенции в совокупности ее составляющих, а именно: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речевая</w:t>
      </w:r>
      <w:r>
        <w:rPr>
          <w:sz w:val="28"/>
          <w:szCs w:val="28"/>
        </w:rPr>
        <w:tab/>
        <w:t>компетенция — развитие</w:t>
      </w:r>
      <w:r>
        <w:rPr>
          <w:sz w:val="28"/>
          <w:szCs w:val="28"/>
        </w:rPr>
        <w:tab/>
        <w:t xml:space="preserve">коммуникативных умений в четырех основных видах </w:t>
      </w:r>
      <w:proofErr w:type="spellStart"/>
      <w:r>
        <w:rPr>
          <w:sz w:val="28"/>
          <w:szCs w:val="28"/>
        </w:rPr>
        <w:t>речевои</w:t>
      </w:r>
      <w:proofErr w:type="spellEnd"/>
      <w:r>
        <w:rPr>
          <w:sz w:val="28"/>
          <w:szCs w:val="28"/>
        </w:rPr>
        <w:t xml:space="preserve">̆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письме);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>
        <w:rPr>
          <w:sz w:val="28"/>
          <w:szCs w:val="28"/>
        </w:rPr>
        <w:t>основнои</w:t>
      </w:r>
      <w:proofErr w:type="spellEnd"/>
      <w:r>
        <w:rPr>
          <w:sz w:val="28"/>
          <w:szCs w:val="28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</w:t>
      </w:r>
      <w:r>
        <w:rPr>
          <w:sz w:val="28"/>
          <w:szCs w:val="28"/>
        </w:rPr>
        <w:lastRenderedPageBreak/>
        <w:t xml:space="preserve">особенностям учащихся </w:t>
      </w:r>
      <w:proofErr w:type="spellStart"/>
      <w:r>
        <w:rPr>
          <w:sz w:val="28"/>
          <w:szCs w:val="28"/>
        </w:rPr>
        <w:t>основнои</w:t>
      </w:r>
      <w:proofErr w:type="spellEnd"/>
      <w:r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учебно-познавательная</w:t>
      </w:r>
      <w:r>
        <w:rPr>
          <w:sz w:val="28"/>
          <w:szCs w:val="28"/>
        </w:rPr>
        <w:tab/>
        <w:t xml:space="preserve">компетенция — </w:t>
      </w:r>
      <w:proofErr w:type="spellStart"/>
      <w:r>
        <w:rPr>
          <w:sz w:val="28"/>
          <w:szCs w:val="28"/>
        </w:rPr>
        <w:t>дальнейшее</w:t>
      </w:r>
      <w:proofErr w:type="spellEnd"/>
      <w:r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8B1789" w:rsidRDefault="008B1789" w:rsidP="008B178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учащихся посредством реализации воспитательного потенциала иностранного языка: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общекультурнои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этническои</w:t>
      </w:r>
      <w:proofErr w:type="spellEnd"/>
      <w:r>
        <w:rPr>
          <w:sz w:val="28"/>
          <w:szCs w:val="28"/>
        </w:rPr>
        <w:t xml:space="preserve">̆ идентичности как составляющих </w:t>
      </w:r>
      <w:proofErr w:type="spellStart"/>
      <w:r>
        <w:rPr>
          <w:sz w:val="28"/>
          <w:szCs w:val="28"/>
        </w:rPr>
        <w:t>гражданскои</w:t>
      </w:r>
      <w:proofErr w:type="spellEnd"/>
      <w:r>
        <w:rPr>
          <w:sz w:val="28"/>
          <w:szCs w:val="28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>
        <w:rPr>
          <w:sz w:val="28"/>
          <w:szCs w:val="28"/>
        </w:rPr>
        <w:t>инои</w:t>
      </w:r>
      <w:proofErr w:type="spellEnd"/>
      <w:r>
        <w:rPr>
          <w:sz w:val="28"/>
          <w:szCs w:val="28"/>
        </w:rPr>
        <w:t xml:space="preserve">̆ культуры; лучшее осознание </w:t>
      </w:r>
      <w:proofErr w:type="spellStart"/>
      <w:r>
        <w:rPr>
          <w:sz w:val="28"/>
          <w:szCs w:val="28"/>
        </w:rPr>
        <w:t>своеи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собственнои</w:t>
      </w:r>
      <w:proofErr w:type="spellEnd"/>
      <w:r>
        <w:rPr>
          <w:sz w:val="28"/>
          <w:szCs w:val="28"/>
        </w:rPr>
        <w:t>̆ культуры;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стремления к овладению основами </w:t>
      </w:r>
      <w:proofErr w:type="spellStart"/>
      <w:r>
        <w:rPr>
          <w:sz w:val="28"/>
          <w:szCs w:val="28"/>
        </w:rPr>
        <w:t>мировои</w:t>
      </w:r>
      <w:proofErr w:type="spellEnd"/>
      <w:r>
        <w:rPr>
          <w:sz w:val="28"/>
          <w:szCs w:val="28"/>
        </w:rPr>
        <w:t>̆ культуры средствами иностранного языка;</w:t>
      </w: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необходимости вести </w:t>
      </w:r>
      <w:proofErr w:type="spellStart"/>
      <w:r>
        <w:rPr>
          <w:sz w:val="28"/>
          <w:szCs w:val="28"/>
        </w:rPr>
        <w:t>здоровыи</w:t>
      </w:r>
      <w:proofErr w:type="spellEnd"/>
      <w:r>
        <w:rPr>
          <w:sz w:val="28"/>
          <w:szCs w:val="28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B1789" w:rsidRDefault="008B1789" w:rsidP="008B1789">
      <w:pPr>
        <w:tabs>
          <w:tab w:val="left" w:pos="-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предмета, курса в учебном плане. </w:t>
      </w:r>
      <w:r>
        <w:rPr>
          <w:sz w:val="28"/>
          <w:szCs w:val="28"/>
        </w:rPr>
        <w:t>В 10-11 классах английский язык является предметом федерального компонента учебного плана.</w:t>
      </w:r>
    </w:p>
    <w:p w:rsidR="008B1789" w:rsidRDefault="008B1789" w:rsidP="008B1789">
      <w:pPr>
        <w:tabs>
          <w:tab w:val="left" w:pos="-1260"/>
        </w:tabs>
        <w:jc w:val="both"/>
        <w:rPr>
          <w:b/>
          <w:sz w:val="28"/>
          <w:szCs w:val="28"/>
        </w:rPr>
      </w:pPr>
    </w:p>
    <w:p w:rsidR="008B1789" w:rsidRDefault="008B1789" w:rsidP="008B17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На изучение курса по предмету Английский язык в 10-11 классах отводится 210 часов: в 10 классе – 108, в 11 классе – 102; по 3 часа в неделю.</w:t>
      </w:r>
    </w:p>
    <w:p w:rsidR="008B1789" w:rsidRDefault="008B1789" w:rsidP="008B1789">
      <w:pPr>
        <w:spacing w:line="276" w:lineRule="auto"/>
        <w:ind w:right="-5"/>
        <w:outlineLvl w:val="0"/>
        <w:rPr>
          <w:sz w:val="28"/>
          <w:szCs w:val="28"/>
        </w:rPr>
      </w:pPr>
    </w:p>
    <w:p w:rsidR="008B1789" w:rsidRDefault="008B1789" w:rsidP="008B1789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предмету «Английский язык»</w:t>
      </w:r>
      <w:r>
        <w:rPr>
          <w:sz w:val="28"/>
          <w:szCs w:val="28"/>
        </w:rPr>
        <w:t xml:space="preserve">: </w:t>
      </w: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3250"/>
        <w:gridCol w:w="719"/>
      </w:tblGrid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Тесные узы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Жизнь и деньги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Школьные будни и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Земля в 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Еда и здоровье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12ч</w:t>
            </w:r>
          </w:p>
        </w:tc>
      </w:tr>
      <w:tr w:rsidR="008B1789" w:rsidTr="008B17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9" w:rsidRDefault="008B1789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13ч</w:t>
            </w:r>
          </w:p>
        </w:tc>
      </w:tr>
    </w:tbl>
    <w:p w:rsidR="008B1789" w:rsidRDefault="008B1789" w:rsidP="008B1789">
      <w:pPr>
        <w:shd w:val="clear" w:color="auto" w:fill="FFFFFF"/>
        <w:tabs>
          <w:tab w:val="left" w:pos="993"/>
        </w:tabs>
        <w:spacing w:line="360" w:lineRule="auto"/>
        <w:ind w:firstLine="709"/>
        <w:rPr>
          <w:b/>
          <w:bCs/>
          <w:sz w:val="16"/>
          <w:szCs w:val="16"/>
        </w:rPr>
      </w:pPr>
    </w:p>
    <w:p w:rsidR="008B1789" w:rsidRDefault="008B1789" w:rsidP="008B1789">
      <w:pPr>
        <w:ind w:firstLine="633"/>
        <w:jc w:val="both"/>
        <w:rPr>
          <w:sz w:val="28"/>
          <w:szCs w:val="28"/>
        </w:rPr>
      </w:pPr>
    </w:p>
    <w:p w:rsidR="008B1789" w:rsidRDefault="008B1789" w:rsidP="008B1789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</w:t>
      </w:r>
    </w:p>
    <w:p w:rsidR="008B1789" w:rsidRDefault="008B1789" w:rsidP="008B17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left="720"/>
        <w:outlineLvl w:val="0"/>
        <w:rPr>
          <w:bCs/>
          <w:i/>
          <w:iCs/>
        </w:rPr>
      </w:pPr>
      <w:r>
        <w:rPr>
          <w:b/>
          <w:sz w:val="28"/>
          <w:szCs w:val="28"/>
        </w:rPr>
        <w:t xml:space="preserve">Формы контроля: </w:t>
      </w:r>
    </w:p>
    <w:p w:rsidR="008B1789" w:rsidRDefault="008B1789" w:rsidP="008B178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входной контроль (тест)</w:t>
      </w:r>
    </w:p>
    <w:p w:rsidR="008B1789" w:rsidRDefault="008B1789" w:rsidP="008B178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Самоконтроль (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ProgressCheck</w:t>
      </w:r>
      <w:r>
        <w:rPr>
          <w:rFonts w:ascii="Times New Roman" w:hAnsi="Times New Roman"/>
          <w:bCs/>
          <w:i/>
          <w:iCs/>
          <w:sz w:val="28"/>
          <w:szCs w:val="28"/>
        </w:rPr>
        <w:t>) в каждом разделе</w:t>
      </w:r>
    </w:p>
    <w:p w:rsidR="008B1789" w:rsidRDefault="008B1789" w:rsidP="008B178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Развивающий контроль (устные зачеты в каждом разделе, фразеологические диктан</w:t>
      </w:r>
      <w:r w:rsidR="00AB713A">
        <w:rPr>
          <w:rFonts w:ascii="Times New Roman" w:hAnsi="Times New Roman"/>
          <w:bCs/>
          <w:i/>
          <w:iCs/>
          <w:sz w:val="28"/>
          <w:szCs w:val="28"/>
        </w:rPr>
        <w:t>т</w:t>
      </w:r>
      <w:r>
        <w:rPr>
          <w:rFonts w:ascii="Times New Roman" w:hAnsi="Times New Roman"/>
          <w:bCs/>
          <w:i/>
          <w:iCs/>
          <w:sz w:val="28"/>
          <w:szCs w:val="28"/>
        </w:rPr>
        <w:t>ы, словарные диктанты, проверочные и практические работы)</w:t>
      </w:r>
    </w:p>
    <w:p w:rsidR="008B1789" w:rsidRDefault="008B1789" w:rsidP="008B178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Итоговый контроль (тест)</w:t>
      </w:r>
    </w:p>
    <w:p w:rsidR="008B1789" w:rsidRDefault="008B1789" w:rsidP="008B178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нетрадиционные формы контроля</w:t>
      </w:r>
      <w:r>
        <w:rPr>
          <w:rFonts w:ascii="Times New Roman" w:hAnsi="Times New Roman"/>
          <w:bCs/>
          <w:iCs/>
          <w:sz w:val="28"/>
          <w:szCs w:val="28"/>
        </w:rPr>
        <w:t xml:space="preserve"> (урок-викторина, защита творческих работ и проектов, головоломки, ребусы, кроссворды, урок-соревнование, урок творческих заданий и т.д.)</w:t>
      </w:r>
    </w:p>
    <w:p w:rsidR="008B1789" w:rsidRDefault="008B1789" w:rsidP="008B1789">
      <w:pPr>
        <w:ind w:firstLine="633"/>
        <w:jc w:val="both"/>
        <w:rPr>
          <w:i/>
          <w:sz w:val="28"/>
          <w:szCs w:val="28"/>
        </w:rPr>
      </w:pPr>
    </w:p>
    <w:p w:rsidR="008B1789" w:rsidRDefault="008B1789" w:rsidP="008B1789">
      <w:pPr>
        <w:spacing w:line="276" w:lineRule="auto"/>
        <w:ind w:firstLine="633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>
        <w:rPr>
          <w:color w:val="000000"/>
          <w:sz w:val="28"/>
          <w:szCs w:val="28"/>
        </w:rPr>
        <w:t xml:space="preserve">МБОУ СОШ № 168 с УИП ХЭЦ» (утверждённым приказом </w:t>
      </w:r>
      <w:r>
        <w:rPr>
          <w:sz w:val="28"/>
          <w:szCs w:val="28"/>
        </w:rPr>
        <w:t>№ 305 от 09.06.2016</w:t>
      </w:r>
      <w:r>
        <w:rPr>
          <w:color w:val="000000"/>
          <w:sz w:val="28"/>
          <w:szCs w:val="28"/>
        </w:rPr>
        <w:t>) и содержит следующие разделы:</w:t>
      </w:r>
    </w:p>
    <w:p w:rsidR="008B1789" w:rsidRDefault="008B1789" w:rsidP="008B1789">
      <w:pPr>
        <w:pStyle w:val="a3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8B1789" w:rsidRDefault="008B1789" w:rsidP="008B1789">
      <w:pPr>
        <w:numPr>
          <w:ilvl w:val="0"/>
          <w:numId w:val="5"/>
        </w:numPr>
        <w:spacing w:line="276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8B1789" w:rsidRDefault="008B1789" w:rsidP="008B178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планирование;</w:t>
      </w:r>
    </w:p>
    <w:p w:rsidR="008B1789" w:rsidRDefault="008B1789" w:rsidP="008B178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обучающихся;</w:t>
      </w:r>
    </w:p>
    <w:p w:rsidR="008B1789" w:rsidRDefault="008B1789" w:rsidP="008B178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(четвертные, полугодовые, итоговые);</w:t>
      </w:r>
    </w:p>
    <w:p w:rsidR="008B1789" w:rsidRDefault="008B1789" w:rsidP="008B178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 для учителя и обучающихся.</w:t>
      </w:r>
    </w:p>
    <w:p w:rsidR="00AB713A" w:rsidRPr="00902316" w:rsidRDefault="00AB713A" w:rsidP="00AB7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Составители: </w:t>
      </w:r>
      <w:r>
        <w:rPr>
          <w:sz w:val="28"/>
          <w:szCs w:val="28"/>
        </w:rPr>
        <w:t>Полякова Татьяна Владимировна, учитель английского языка первой квалификационной категории, Никольская Евгения Николаевна,</w:t>
      </w:r>
      <w:r w:rsidRPr="0090231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английского языка первой квалификационной категории, Сухих Дарья Евгеньевна, учитель английского языка первой квалификационной категории, Горст Дмитрий Александрович, молодой специалист.</w:t>
      </w:r>
    </w:p>
    <w:p w:rsidR="008B1789" w:rsidRDefault="008B1789" w:rsidP="008B1789">
      <w:pPr>
        <w:rPr>
          <w:sz w:val="28"/>
          <w:szCs w:val="28"/>
        </w:rPr>
      </w:pPr>
    </w:p>
    <w:p w:rsidR="008B1789" w:rsidRDefault="008B1789" w:rsidP="008B1789"/>
    <w:p w:rsidR="008B1789" w:rsidRDefault="008B1789" w:rsidP="008B1789"/>
    <w:p w:rsidR="00DB3E4D" w:rsidRDefault="00DB3E4D"/>
    <w:sectPr w:rsidR="00DB3E4D" w:rsidSect="0084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73"/>
    <w:multiLevelType w:val="hybridMultilevel"/>
    <w:tmpl w:val="A66E49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526"/>
    <w:multiLevelType w:val="hybridMultilevel"/>
    <w:tmpl w:val="48382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031591"/>
    <w:multiLevelType w:val="hybridMultilevel"/>
    <w:tmpl w:val="177EB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5E"/>
    <w:rsid w:val="008470EE"/>
    <w:rsid w:val="008B1789"/>
    <w:rsid w:val="0097425E"/>
    <w:rsid w:val="00AB713A"/>
    <w:rsid w:val="00DB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B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l.a.matochkina</cp:lastModifiedBy>
  <cp:revision>3</cp:revision>
  <dcterms:created xsi:type="dcterms:W3CDTF">2018-10-20T02:23:00Z</dcterms:created>
  <dcterms:modified xsi:type="dcterms:W3CDTF">2018-10-22T11:32:00Z</dcterms:modified>
</cp:coreProperties>
</file>